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楷体_GB2312" w:eastAsia="楷体_GB2312"/>
          <w:b/>
          <w:sz w:val="30"/>
          <w:szCs w:val="30"/>
        </w:rPr>
      </w:pPr>
      <w:r>
        <w:rPr>
          <w:rFonts w:hint="eastAsia" w:ascii="楷体_GB2312" w:eastAsia="楷体_GB2312"/>
          <w:b/>
          <w:sz w:val="30"/>
          <w:szCs w:val="30"/>
        </w:rPr>
        <w:t>关于对2016年申报一级教师职称人员的教育教学论文进行鉴定的通知</w:t>
      </w:r>
    </w:p>
    <w:p>
      <w:pPr>
        <w:spacing w:line="560" w:lineRule="exact"/>
        <w:jc w:val="center"/>
        <w:rPr>
          <w:rFonts w:hint="eastAsia" w:ascii="楷体_GB2312" w:eastAsia="楷体_GB2312"/>
          <w:b/>
          <w:sz w:val="30"/>
          <w:szCs w:val="30"/>
        </w:rPr>
      </w:pPr>
    </w:p>
    <w:p>
      <w:pPr>
        <w:rPr>
          <w:rFonts w:hint="eastAsia" w:ascii="宋体" w:hAnsi="宋体"/>
          <w:b/>
          <w:szCs w:val="28"/>
        </w:rPr>
      </w:pPr>
      <w:r>
        <w:rPr>
          <w:rFonts w:hint="eastAsia" w:ascii="宋体" w:hAnsi="宋体"/>
          <w:b/>
          <w:szCs w:val="28"/>
        </w:rPr>
        <w:t>各中小学、幼儿园、教研室、少年宫：</w:t>
      </w:r>
    </w:p>
    <w:p>
      <w:pPr>
        <w:widowControl/>
        <w:spacing w:line="520" w:lineRule="exact"/>
        <w:ind w:firstLine="640" w:firstLineChars="200"/>
        <w:rPr>
          <w:rFonts w:hint="eastAsia" w:hAnsi="宋体" w:eastAsia="仿宋_GB2312" w:cs="宋体"/>
          <w:kern w:val="0"/>
          <w:sz w:val="32"/>
          <w:szCs w:val="32"/>
        </w:rPr>
      </w:pPr>
      <w:r>
        <w:rPr>
          <w:rFonts w:hint="eastAsia" w:hAnsi="宋体" w:eastAsia="仿宋_GB2312" w:cs="宋体"/>
          <w:kern w:val="0"/>
          <w:sz w:val="32"/>
          <w:szCs w:val="32"/>
        </w:rPr>
        <w:t>为认真做好2016年中小学、幼儿园教师专业技术资格评审工作，请各单位结合本单位岗位设置情况和中小学教师职称制度改革的要求，做好2016年中小学、幼儿园一级教师职称论文鉴定材料的申报工作。现就上报教育教学论文的有关事项通知如下：</w:t>
      </w:r>
    </w:p>
    <w:p>
      <w:pPr>
        <w:spacing w:line="520" w:lineRule="exact"/>
        <w:ind w:firstLine="585"/>
        <w:rPr>
          <w:rFonts w:hint="eastAsia" w:eastAsia="仿宋_GB2312"/>
          <w:sz w:val="32"/>
          <w:szCs w:val="32"/>
        </w:rPr>
      </w:pPr>
      <w:r>
        <w:rPr>
          <w:rFonts w:hint="eastAsia" w:eastAsia="仿宋_GB2312"/>
          <w:sz w:val="32"/>
          <w:szCs w:val="32"/>
        </w:rPr>
        <w:t>1．</w:t>
      </w:r>
      <w:r>
        <w:rPr>
          <w:rFonts w:hint="eastAsia" w:hAnsi="宋体" w:eastAsia="仿宋_GB2312" w:cs="宋体"/>
          <w:kern w:val="0"/>
          <w:sz w:val="32"/>
          <w:szCs w:val="32"/>
        </w:rPr>
        <w:t>提供鉴定的文章必须是围绕中小学、</w:t>
      </w:r>
      <w:r>
        <w:rPr>
          <w:rFonts w:hint="eastAsia" w:eastAsia="仿宋_GB2312"/>
          <w:sz w:val="32"/>
          <w:szCs w:val="32"/>
        </w:rPr>
        <w:t>幼儿园</w:t>
      </w:r>
      <w:r>
        <w:rPr>
          <w:rFonts w:hint="eastAsia" w:hAnsi="宋体" w:eastAsia="仿宋_GB2312" w:cs="宋体"/>
          <w:kern w:val="0"/>
          <w:sz w:val="32"/>
          <w:szCs w:val="32"/>
        </w:rPr>
        <w:t>教育教学实际撰写的论文、专题总结、调查报告等，且必须是在任二级教师职称以后所撰写，字数一般在</w:t>
      </w:r>
      <w:r>
        <w:rPr>
          <w:rFonts w:eastAsia="仿宋_GB2312"/>
          <w:kern w:val="0"/>
          <w:sz w:val="32"/>
          <w:szCs w:val="32"/>
        </w:rPr>
        <w:t>2000</w:t>
      </w:r>
      <w:r>
        <w:rPr>
          <w:rFonts w:hint="eastAsia" w:hAnsi="宋体" w:eastAsia="仿宋_GB2312" w:cs="宋体"/>
          <w:kern w:val="0"/>
          <w:sz w:val="32"/>
          <w:szCs w:val="32"/>
        </w:rPr>
        <w:t>字左右。</w:t>
      </w:r>
      <w:r>
        <w:rPr>
          <w:rFonts w:hint="eastAsia" w:eastAsia="仿宋_GB2312"/>
          <w:sz w:val="32"/>
          <w:szCs w:val="32"/>
        </w:rPr>
        <w:t>本次送鉴的论文，每位教师最多不得超过三篇。论著不作为此次鉴定材料，仅为申报职称时作为申报材料。</w:t>
      </w:r>
    </w:p>
    <w:p>
      <w:pPr>
        <w:spacing w:line="520" w:lineRule="exact"/>
        <w:ind w:firstLine="585"/>
        <w:rPr>
          <w:rFonts w:hint="eastAsia" w:eastAsia="仿宋_GB2312"/>
          <w:sz w:val="32"/>
          <w:szCs w:val="32"/>
        </w:rPr>
      </w:pPr>
      <w:r>
        <w:rPr>
          <w:rFonts w:hint="eastAsia" w:eastAsia="仿宋_GB2312"/>
          <w:sz w:val="32"/>
          <w:szCs w:val="32"/>
        </w:rPr>
        <w:t>2．提供鉴定的论文上</w:t>
      </w:r>
      <w:r>
        <w:rPr>
          <w:rFonts w:hint="eastAsia" w:eastAsia="仿宋_GB2312"/>
          <w:b/>
          <w:bCs/>
          <w:sz w:val="32"/>
          <w:szCs w:val="32"/>
          <w:u w:val="single"/>
        </w:rPr>
        <w:t>不得</w:t>
      </w:r>
      <w:r>
        <w:rPr>
          <w:rFonts w:hint="eastAsia" w:eastAsia="仿宋_GB2312"/>
          <w:sz w:val="32"/>
          <w:szCs w:val="32"/>
        </w:rPr>
        <w:t>写明单位与作者，</w:t>
      </w:r>
      <w:r>
        <w:rPr>
          <w:rFonts w:hint="eastAsia" w:eastAsia="仿宋_GB2312"/>
          <w:sz w:val="32"/>
          <w:szCs w:val="32"/>
          <w:u w:val="single"/>
        </w:rPr>
        <w:t>如果是合作完成的论文，请在论文标题的左上角注明是</w:t>
      </w:r>
      <w:r>
        <w:rPr>
          <w:rFonts w:hint="eastAsia" w:eastAsia="仿宋_GB2312"/>
          <w:b/>
          <w:sz w:val="32"/>
          <w:szCs w:val="32"/>
        </w:rPr>
        <w:t>“第一作者”</w:t>
      </w:r>
      <w:r>
        <w:rPr>
          <w:rFonts w:hint="eastAsia" w:eastAsia="仿宋_GB2312"/>
          <w:sz w:val="32"/>
          <w:szCs w:val="32"/>
          <w:u w:val="single"/>
        </w:rPr>
        <w:t>或</w:t>
      </w:r>
      <w:r>
        <w:rPr>
          <w:rFonts w:hint="eastAsia" w:eastAsia="仿宋_GB2312"/>
          <w:b/>
          <w:sz w:val="32"/>
          <w:szCs w:val="32"/>
        </w:rPr>
        <w:t>“第二作者”</w:t>
      </w:r>
      <w:r>
        <w:rPr>
          <w:rFonts w:hint="eastAsia" w:eastAsia="仿宋_GB2312"/>
          <w:sz w:val="32"/>
          <w:szCs w:val="32"/>
        </w:rPr>
        <w:t>，</w:t>
      </w:r>
      <w:r>
        <w:rPr>
          <w:rFonts w:hint="eastAsia" w:eastAsia="仿宋_GB2312"/>
          <w:b/>
          <w:sz w:val="32"/>
          <w:szCs w:val="32"/>
          <w:u w:val="single"/>
        </w:rPr>
        <w:t>否则按有关规定处理</w:t>
      </w:r>
      <w:r>
        <w:rPr>
          <w:rFonts w:hint="eastAsia" w:eastAsia="仿宋_GB2312"/>
          <w:b/>
          <w:sz w:val="32"/>
          <w:szCs w:val="32"/>
        </w:rPr>
        <w:t>。</w:t>
      </w:r>
      <w:r>
        <w:rPr>
          <w:rFonts w:hint="eastAsia" w:eastAsia="仿宋_GB2312"/>
          <w:sz w:val="32"/>
          <w:szCs w:val="32"/>
        </w:rPr>
        <w:t>论文打印要求：标题为三号宋体加粗，正文为四号仿宋体，用A4纸单面打印（页边距：上3，下2.5，左2.5，右2.5，固定值23磅），并校对无误，每篇1份，每一份论文前附一张统一格式的“论文鉴定表”（此表为二分之一A4纸，样表附后）。凡在报刊杂志上公开发表或获奖的论文等不需提供原件或获奖证书。</w:t>
      </w:r>
    </w:p>
    <w:p>
      <w:pPr>
        <w:widowControl/>
        <w:spacing w:line="520" w:lineRule="exact"/>
        <w:ind w:firstLine="585"/>
        <w:jc w:val="left"/>
        <w:rPr>
          <w:rFonts w:hint="eastAsia" w:eastAsia="仿宋_GB2312"/>
          <w:sz w:val="32"/>
          <w:szCs w:val="32"/>
        </w:rPr>
      </w:pPr>
      <w:r>
        <w:rPr>
          <w:rFonts w:hint="eastAsia" w:eastAsia="仿宋_GB2312"/>
          <w:sz w:val="32"/>
          <w:szCs w:val="32"/>
        </w:rPr>
        <w:t>3．申报一级职称者必须提供已通过鉴定的论文2篇</w:t>
      </w:r>
      <w:r>
        <w:rPr>
          <w:rFonts w:hint="eastAsia" w:eastAsia="仿宋_GB2312"/>
          <w:b/>
          <w:sz w:val="32"/>
          <w:szCs w:val="32"/>
        </w:rPr>
        <w:t>(内容要与申报学科相同)</w:t>
      </w:r>
      <w:r>
        <w:rPr>
          <w:rFonts w:hint="eastAsia" w:eastAsia="仿宋_GB2312"/>
          <w:sz w:val="32"/>
          <w:szCs w:val="32"/>
        </w:rPr>
        <w:t>。需鉴定的论文应分别填写好无锡市中小学、幼儿园教育教学论文鉴定表，鉴定类别必须规范填写，不得随意更改。论文鉴定费每篇50元</w:t>
      </w:r>
      <w:r>
        <w:rPr>
          <w:rFonts w:hint="eastAsia" w:hAnsi="宋体" w:eastAsia="仿宋_GB2312" w:cs="宋体"/>
          <w:color w:val="000000"/>
          <w:kern w:val="0"/>
          <w:sz w:val="32"/>
          <w:szCs w:val="32"/>
        </w:rPr>
        <w:t>（交组织人事科1518办公室李君老师）</w:t>
      </w:r>
      <w:r>
        <w:rPr>
          <w:rFonts w:hint="eastAsia" w:eastAsia="仿宋_GB2312"/>
          <w:sz w:val="32"/>
          <w:szCs w:val="32"/>
        </w:rPr>
        <w:t>。</w:t>
      </w:r>
    </w:p>
    <w:p>
      <w:pPr>
        <w:widowControl/>
        <w:spacing w:line="520" w:lineRule="exact"/>
        <w:jc w:val="left"/>
        <w:rPr>
          <w:rFonts w:ascii="宋体" w:hAnsi="宋体" w:eastAsia="仿宋_GB2312" w:cs="宋体"/>
          <w:color w:val="000000"/>
          <w:kern w:val="0"/>
          <w:sz w:val="32"/>
          <w:szCs w:val="32"/>
        </w:rPr>
      </w:pPr>
      <w:r>
        <w:rPr>
          <w:rFonts w:eastAsia="仿宋_GB2312"/>
          <w:color w:val="000000"/>
          <w:kern w:val="0"/>
          <w:sz w:val="32"/>
          <w:szCs w:val="32"/>
        </w:rPr>
        <w:t xml:space="preserve">    4</w:t>
      </w:r>
      <w:r>
        <w:rPr>
          <w:rFonts w:hint="eastAsia" w:hAnsi="宋体" w:eastAsia="仿宋_GB2312" w:cs="宋体"/>
          <w:color w:val="000000"/>
          <w:kern w:val="0"/>
          <w:sz w:val="32"/>
          <w:szCs w:val="32"/>
        </w:rPr>
        <w:t>．论文上报的截止时间为</w:t>
      </w:r>
      <w:r>
        <w:rPr>
          <w:rFonts w:eastAsia="仿宋_GB2312"/>
          <w:b/>
          <w:color w:val="000000"/>
          <w:kern w:val="0"/>
          <w:sz w:val="32"/>
          <w:szCs w:val="32"/>
        </w:rPr>
        <w:t>201</w:t>
      </w:r>
      <w:r>
        <w:rPr>
          <w:rFonts w:hint="eastAsia" w:eastAsia="仿宋_GB2312"/>
          <w:b/>
          <w:color w:val="000000"/>
          <w:kern w:val="0"/>
          <w:sz w:val="32"/>
          <w:szCs w:val="32"/>
        </w:rPr>
        <w:t>6</w:t>
      </w:r>
      <w:r>
        <w:rPr>
          <w:rFonts w:hint="eastAsia" w:hAnsi="宋体" w:eastAsia="仿宋_GB2312" w:cs="宋体"/>
          <w:b/>
          <w:color w:val="000000"/>
          <w:kern w:val="0"/>
          <w:sz w:val="32"/>
          <w:szCs w:val="32"/>
        </w:rPr>
        <w:t>年</w:t>
      </w:r>
      <w:r>
        <w:rPr>
          <w:rFonts w:hint="eastAsia" w:eastAsia="仿宋_GB2312"/>
          <w:b/>
          <w:color w:val="000000"/>
          <w:kern w:val="0"/>
          <w:sz w:val="32"/>
          <w:szCs w:val="32"/>
        </w:rPr>
        <w:t>5</w:t>
      </w:r>
      <w:r>
        <w:rPr>
          <w:rFonts w:hint="eastAsia" w:hAnsi="宋体" w:eastAsia="仿宋_GB2312" w:cs="宋体"/>
          <w:b/>
          <w:color w:val="000000"/>
          <w:kern w:val="0"/>
          <w:sz w:val="32"/>
          <w:szCs w:val="32"/>
        </w:rPr>
        <w:t>月</w:t>
      </w:r>
      <w:r>
        <w:rPr>
          <w:rFonts w:hint="eastAsia" w:eastAsia="仿宋_GB2312"/>
          <w:b/>
          <w:color w:val="000000"/>
          <w:kern w:val="0"/>
          <w:sz w:val="32"/>
          <w:szCs w:val="32"/>
        </w:rPr>
        <w:t>15</w:t>
      </w:r>
      <w:r>
        <w:rPr>
          <w:rFonts w:hint="eastAsia" w:hAnsi="宋体" w:eastAsia="仿宋_GB2312" w:cs="宋体"/>
          <w:b/>
          <w:color w:val="000000"/>
          <w:kern w:val="0"/>
          <w:sz w:val="32"/>
          <w:szCs w:val="32"/>
        </w:rPr>
        <w:t>日</w:t>
      </w:r>
      <w:r>
        <w:rPr>
          <w:rFonts w:hint="eastAsia" w:hAnsi="宋体" w:eastAsia="仿宋_GB2312" w:cs="宋体"/>
          <w:color w:val="000000"/>
          <w:kern w:val="0"/>
          <w:sz w:val="32"/>
          <w:szCs w:val="32"/>
        </w:rPr>
        <w:t>，过期不予受理。</w:t>
      </w:r>
    </w:p>
    <w:p>
      <w:pPr>
        <w:widowControl/>
        <w:spacing w:line="520" w:lineRule="exact"/>
        <w:ind w:firstLine="585"/>
        <w:jc w:val="left"/>
        <w:rPr>
          <w:rFonts w:hint="eastAsia" w:hAnsi="宋体" w:eastAsia="仿宋_GB2312" w:cs="宋体"/>
          <w:color w:val="000000"/>
          <w:kern w:val="0"/>
          <w:sz w:val="32"/>
          <w:szCs w:val="32"/>
        </w:rPr>
      </w:pPr>
      <w:r>
        <w:rPr>
          <w:rFonts w:eastAsia="仿宋_GB2312"/>
          <w:color w:val="000000"/>
          <w:kern w:val="0"/>
          <w:sz w:val="32"/>
          <w:szCs w:val="32"/>
        </w:rPr>
        <w:t>5</w:t>
      </w:r>
      <w:r>
        <w:rPr>
          <w:rFonts w:hint="eastAsia" w:hAnsi="宋体" w:eastAsia="仿宋_GB2312" w:cs="宋体"/>
          <w:color w:val="000000"/>
          <w:kern w:val="0"/>
          <w:sz w:val="32"/>
          <w:szCs w:val="32"/>
        </w:rPr>
        <w:t>．各单位在汇总申报一级教师职称人员的鉴定论文时，须将鉴定论文的有关内容按下表格式（在</w:t>
      </w:r>
      <w:r>
        <w:rPr>
          <w:rFonts w:eastAsia="仿宋_GB2312"/>
          <w:color w:val="000000"/>
          <w:kern w:val="0"/>
          <w:sz w:val="32"/>
          <w:szCs w:val="32"/>
        </w:rPr>
        <w:t>EXCEL</w:t>
      </w:r>
      <w:r>
        <w:rPr>
          <w:rFonts w:hint="eastAsia" w:hAnsi="宋体" w:eastAsia="仿宋_GB2312" w:cs="宋体"/>
          <w:color w:val="000000"/>
          <w:kern w:val="0"/>
          <w:sz w:val="32"/>
          <w:szCs w:val="32"/>
        </w:rPr>
        <w:t>中操作）</w:t>
      </w:r>
      <w:r>
        <w:rPr>
          <w:rFonts w:eastAsia="仿宋_GB2312"/>
          <w:color w:val="000000"/>
          <w:kern w:val="0"/>
          <w:sz w:val="32"/>
          <w:szCs w:val="32"/>
        </w:rPr>
        <w:t>,</w:t>
      </w:r>
      <w:r>
        <w:rPr>
          <w:rFonts w:hint="eastAsia" w:hAnsi="宋体" w:eastAsia="仿宋_GB2312" w:cs="宋体"/>
          <w:color w:val="000000"/>
          <w:kern w:val="0"/>
          <w:sz w:val="32"/>
          <w:szCs w:val="32"/>
        </w:rPr>
        <w:t>上报电子邮件（邮箱：</w:t>
      </w:r>
      <w:r>
        <w:rPr>
          <w:rFonts w:hint="eastAsia" w:eastAsia="仿宋_GB2312"/>
          <w:color w:val="0000FF"/>
          <w:kern w:val="0"/>
          <w:sz w:val="32"/>
          <w:u w:val="single"/>
        </w:rPr>
        <w:t>627319864</w:t>
      </w:r>
      <w:r>
        <w:rPr>
          <w:rFonts w:eastAsia="仿宋_GB2312"/>
          <w:color w:val="0000FF"/>
          <w:kern w:val="0"/>
          <w:sz w:val="32"/>
          <w:u w:val="single"/>
        </w:rPr>
        <w:t>@qq.com</w:t>
      </w:r>
      <w:r>
        <w:rPr>
          <w:rFonts w:hint="eastAsia" w:hAnsi="宋体" w:eastAsia="仿宋_GB2312" w:cs="宋体"/>
          <w:color w:val="000000"/>
          <w:kern w:val="0"/>
          <w:sz w:val="30"/>
          <w:szCs w:val="30"/>
        </w:rPr>
        <w:t>）</w:t>
      </w:r>
      <w:r>
        <w:rPr>
          <w:rFonts w:hint="eastAsia" w:hAnsi="宋体" w:eastAsia="仿宋_GB2312" w:cs="宋体"/>
          <w:color w:val="000000"/>
          <w:kern w:val="0"/>
          <w:sz w:val="32"/>
          <w:szCs w:val="32"/>
        </w:rPr>
        <w:t>。为了顺利进行论文鉴定，务必要求论文送审者根据论文的实际内容，认真准确填写好鉴定类别，请按不同类别进行汇总上报。</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604"/>
        <w:gridCol w:w="1812"/>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028"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ascii="宋体" w:hAnsi="宋体" w:eastAsia="仿宋_GB2312" w:cs="宋体"/>
                <w:kern w:val="0"/>
                <w:sz w:val="32"/>
                <w:szCs w:val="32"/>
              </w:rPr>
            </w:pPr>
            <w:r>
              <w:rPr>
                <w:rFonts w:hint="eastAsia" w:hAnsi="宋体" w:eastAsia="仿宋_GB2312" w:cs="宋体"/>
                <w:kern w:val="0"/>
                <w:sz w:val="32"/>
                <w:szCs w:val="32"/>
              </w:rPr>
              <w:t>工作单位</w:t>
            </w:r>
          </w:p>
        </w:tc>
        <w:tc>
          <w:tcPr>
            <w:tcW w:w="1604"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ascii="宋体" w:hAnsi="宋体" w:eastAsia="仿宋_GB2312" w:cs="宋体"/>
                <w:kern w:val="0"/>
                <w:sz w:val="32"/>
                <w:szCs w:val="32"/>
              </w:rPr>
            </w:pPr>
            <w:r>
              <w:rPr>
                <w:rFonts w:hint="eastAsia" w:hAnsi="宋体" w:eastAsia="仿宋_GB2312" w:cs="宋体"/>
                <w:kern w:val="0"/>
                <w:sz w:val="32"/>
                <w:szCs w:val="32"/>
              </w:rPr>
              <w:t>姓</w:t>
            </w:r>
            <w:r>
              <w:rPr>
                <w:rFonts w:eastAsia="仿宋_GB2312"/>
                <w:kern w:val="0"/>
                <w:sz w:val="32"/>
                <w:szCs w:val="32"/>
              </w:rPr>
              <w:t xml:space="preserve">   </w:t>
            </w:r>
            <w:r>
              <w:rPr>
                <w:rFonts w:hint="eastAsia" w:hAnsi="宋体" w:eastAsia="仿宋_GB2312" w:cs="宋体"/>
                <w:kern w:val="0"/>
                <w:sz w:val="32"/>
                <w:szCs w:val="32"/>
              </w:rPr>
              <w:t>名</w:t>
            </w:r>
          </w:p>
        </w:tc>
        <w:tc>
          <w:tcPr>
            <w:tcW w:w="1812"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ascii="宋体" w:hAnsi="宋体" w:eastAsia="仿宋_GB2312" w:cs="宋体"/>
                <w:kern w:val="0"/>
                <w:sz w:val="32"/>
                <w:szCs w:val="32"/>
              </w:rPr>
            </w:pPr>
            <w:r>
              <w:rPr>
                <w:rFonts w:hint="eastAsia" w:hAnsi="宋体" w:eastAsia="仿宋_GB2312" w:cs="宋体"/>
                <w:kern w:val="0"/>
                <w:sz w:val="32"/>
                <w:szCs w:val="32"/>
              </w:rPr>
              <w:t>鉴定类别</w:t>
            </w:r>
          </w:p>
        </w:tc>
        <w:tc>
          <w:tcPr>
            <w:tcW w:w="2970"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ascii="宋体" w:hAnsi="宋体" w:eastAsia="仿宋_GB2312" w:cs="宋体"/>
                <w:kern w:val="0"/>
                <w:sz w:val="32"/>
                <w:szCs w:val="32"/>
              </w:rPr>
            </w:pPr>
            <w:r>
              <w:rPr>
                <w:rFonts w:hint="eastAsia" w:hAnsi="宋体" w:eastAsia="仿宋_GB2312" w:cs="宋体"/>
                <w:kern w:val="0"/>
                <w:sz w:val="32"/>
                <w:szCs w:val="32"/>
              </w:rPr>
              <w:t>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28"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left"/>
              <w:rPr>
                <w:rFonts w:ascii="宋体" w:hAnsi="宋体" w:eastAsia="仿宋_GB2312" w:cs="宋体"/>
                <w:kern w:val="0"/>
                <w:sz w:val="32"/>
                <w:szCs w:val="32"/>
              </w:rPr>
            </w:pPr>
          </w:p>
        </w:tc>
        <w:tc>
          <w:tcPr>
            <w:tcW w:w="1604"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left"/>
              <w:rPr>
                <w:rFonts w:ascii="宋体" w:hAnsi="宋体" w:eastAsia="仿宋_GB2312" w:cs="宋体"/>
                <w:kern w:val="0"/>
                <w:sz w:val="32"/>
                <w:szCs w:val="32"/>
              </w:rPr>
            </w:pPr>
          </w:p>
        </w:tc>
        <w:tc>
          <w:tcPr>
            <w:tcW w:w="1812"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left"/>
              <w:rPr>
                <w:rFonts w:ascii="宋体" w:hAnsi="宋体" w:eastAsia="仿宋_GB2312" w:cs="宋体"/>
                <w:kern w:val="0"/>
                <w:sz w:val="32"/>
                <w:szCs w:val="32"/>
              </w:rPr>
            </w:pPr>
          </w:p>
        </w:tc>
        <w:tc>
          <w:tcPr>
            <w:tcW w:w="2970"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left"/>
              <w:rPr>
                <w:rFonts w:ascii="宋体" w:hAnsi="宋体" w:eastAsia="仿宋_GB2312" w:cs="宋体"/>
                <w:kern w:val="0"/>
                <w:sz w:val="32"/>
                <w:szCs w:val="32"/>
              </w:rPr>
            </w:pPr>
          </w:p>
        </w:tc>
      </w:tr>
    </w:tbl>
    <w:p>
      <w:pPr>
        <w:widowControl/>
        <w:spacing w:line="520" w:lineRule="exact"/>
        <w:ind w:firstLine="640" w:firstLineChars="200"/>
        <w:jc w:val="left"/>
        <w:rPr>
          <w:rFonts w:ascii="宋体" w:hAnsi="宋体" w:eastAsia="仿宋_GB2312" w:cs="宋体"/>
          <w:color w:val="000000"/>
          <w:kern w:val="0"/>
          <w:sz w:val="32"/>
          <w:szCs w:val="32"/>
        </w:rPr>
      </w:pPr>
      <w:r>
        <w:rPr>
          <w:rFonts w:eastAsia="仿宋_GB2312"/>
          <w:color w:val="000000"/>
          <w:kern w:val="0"/>
          <w:sz w:val="32"/>
          <w:szCs w:val="32"/>
        </w:rPr>
        <w:t>6</w:t>
      </w:r>
      <w:r>
        <w:rPr>
          <w:rFonts w:hint="eastAsia" w:hAnsi="宋体" w:eastAsia="仿宋_GB2312" w:cs="宋体"/>
          <w:color w:val="000000"/>
          <w:kern w:val="0"/>
          <w:sz w:val="32"/>
          <w:szCs w:val="32"/>
        </w:rPr>
        <w:t>、此次鉴定的论文结果，有效期为</w:t>
      </w:r>
      <w:r>
        <w:rPr>
          <w:rFonts w:eastAsia="仿宋_GB2312"/>
          <w:b/>
          <w:color w:val="000000"/>
          <w:kern w:val="0"/>
          <w:sz w:val="32"/>
          <w:szCs w:val="32"/>
        </w:rPr>
        <w:t>3</w:t>
      </w:r>
      <w:r>
        <w:rPr>
          <w:rFonts w:hint="eastAsia" w:hAnsi="宋体" w:eastAsia="仿宋_GB2312" w:cs="宋体"/>
          <w:color w:val="000000"/>
          <w:kern w:val="0"/>
          <w:sz w:val="32"/>
          <w:szCs w:val="32"/>
        </w:rPr>
        <w:t>年。（</w:t>
      </w:r>
      <w:r>
        <w:rPr>
          <w:rFonts w:eastAsia="仿宋_GB2312"/>
          <w:color w:val="000000"/>
          <w:kern w:val="0"/>
          <w:sz w:val="32"/>
          <w:szCs w:val="32"/>
        </w:rPr>
        <w:t>201</w:t>
      </w:r>
      <w:r>
        <w:rPr>
          <w:rFonts w:hint="eastAsia" w:eastAsia="仿宋_GB2312"/>
          <w:color w:val="000000"/>
          <w:kern w:val="0"/>
          <w:sz w:val="32"/>
          <w:szCs w:val="32"/>
        </w:rPr>
        <w:t>6</w:t>
      </w:r>
      <w:r>
        <w:rPr>
          <w:rFonts w:hint="eastAsia" w:hAnsi="宋体" w:eastAsia="仿宋_GB2312" w:cs="宋体"/>
          <w:color w:val="000000"/>
          <w:kern w:val="0"/>
          <w:sz w:val="32"/>
          <w:szCs w:val="32"/>
        </w:rPr>
        <w:t>、</w:t>
      </w:r>
      <w:r>
        <w:rPr>
          <w:rFonts w:eastAsia="仿宋_GB2312"/>
          <w:color w:val="000000"/>
          <w:kern w:val="0"/>
          <w:sz w:val="32"/>
          <w:szCs w:val="32"/>
        </w:rPr>
        <w:t>201</w:t>
      </w:r>
      <w:r>
        <w:rPr>
          <w:rFonts w:hint="eastAsia" w:eastAsia="仿宋_GB2312"/>
          <w:color w:val="000000"/>
          <w:kern w:val="0"/>
          <w:sz w:val="32"/>
          <w:szCs w:val="32"/>
        </w:rPr>
        <w:t>7</w:t>
      </w:r>
      <w:r>
        <w:rPr>
          <w:rFonts w:hint="eastAsia" w:hAnsi="宋体" w:eastAsia="仿宋_GB2312" w:cs="宋体"/>
          <w:color w:val="000000"/>
          <w:kern w:val="0"/>
          <w:sz w:val="32"/>
          <w:szCs w:val="32"/>
        </w:rPr>
        <w:t>、</w:t>
      </w:r>
      <w:r>
        <w:rPr>
          <w:rFonts w:eastAsia="仿宋_GB2312"/>
          <w:color w:val="000000"/>
          <w:kern w:val="0"/>
          <w:sz w:val="32"/>
          <w:szCs w:val="32"/>
        </w:rPr>
        <w:t>201</w:t>
      </w:r>
      <w:r>
        <w:rPr>
          <w:rFonts w:hint="eastAsia" w:eastAsia="仿宋_GB2312"/>
          <w:color w:val="000000"/>
          <w:kern w:val="0"/>
          <w:sz w:val="32"/>
          <w:szCs w:val="32"/>
        </w:rPr>
        <w:t>8</w:t>
      </w:r>
      <w:r>
        <w:rPr>
          <w:rFonts w:hint="eastAsia" w:hAnsi="宋体" w:eastAsia="仿宋_GB2312" w:cs="宋体"/>
          <w:color w:val="000000"/>
          <w:kern w:val="0"/>
          <w:sz w:val="32"/>
          <w:szCs w:val="32"/>
        </w:rPr>
        <w:t>）</w:t>
      </w:r>
    </w:p>
    <w:p>
      <w:pPr>
        <w:widowControl/>
        <w:spacing w:line="520" w:lineRule="exact"/>
        <w:ind w:firstLine="585"/>
        <w:jc w:val="left"/>
        <w:rPr>
          <w:rFonts w:ascii="宋体" w:hAnsi="宋体" w:eastAsia="仿宋_GB2312" w:cs="宋体"/>
          <w:color w:val="000000"/>
          <w:kern w:val="0"/>
          <w:sz w:val="32"/>
          <w:szCs w:val="32"/>
        </w:rPr>
      </w:pPr>
      <w:r>
        <w:rPr>
          <w:rFonts w:eastAsia="仿宋_GB2312"/>
          <w:color w:val="000000"/>
          <w:kern w:val="0"/>
          <w:sz w:val="32"/>
          <w:szCs w:val="32"/>
        </w:rPr>
        <w:t>7</w:t>
      </w:r>
      <w:r>
        <w:rPr>
          <w:rFonts w:hint="eastAsia" w:hAnsi="宋体" w:eastAsia="仿宋_GB2312" w:cs="宋体"/>
          <w:color w:val="000000"/>
          <w:kern w:val="0"/>
          <w:sz w:val="32"/>
          <w:szCs w:val="32"/>
        </w:rPr>
        <w:t>、《个人申明》和《论文核查证明》（详见附件），由各校按学科顺序统一交区教育局组织人事科1520办公室汤国飞老师。</w:t>
      </w:r>
    </w:p>
    <w:p>
      <w:pPr>
        <w:widowControl/>
        <w:spacing w:line="520" w:lineRule="exact"/>
        <w:ind w:firstLine="585"/>
        <w:jc w:val="left"/>
        <w:rPr>
          <w:rFonts w:ascii="宋体" w:hAnsi="宋体" w:eastAsia="仿宋_GB2312" w:cs="宋体"/>
          <w:color w:val="000000"/>
          <w:kern w:val="0"/>
          <w:sz w:val="32"/>
          <w:szCs w:val="32"/>
        </w:rPr>
      </w:pPr>
      <w:r>
        <w:rPr>
          <w:rFonts w:hint="eastAsia" w:hAnsi="宋体" w:eastAsia="仿宋_GB2312" w:cs="宋体"/>
          <w:color w:val="000000"/>
          <w:kern w:val="0"/>
          <w:sz w:val="32"/>
          <w:szCs w:val="32"/>
        </w:rPr>
        <w:t>务请各单位将本通知精神向广大教师作广泛宣传，动员教师积极参加教科研活动，认真撰写教育教学论文。</w:t>
      </w:r>
    </w:p>
    <w:p>
      <w:pPr>
        <w:widowControl/>
        <w:spacing w:line="520" w:lineRule="exact"/>
        <w:jc w:val="left"/>
        <w:rPr>
          <w:rFonts w:ascii="宋体" w:hAnsi="宋体" w:eastAsia="仿宋_GB2312" w:cs="宋体"/>
          <w:color w:val="000000"/>
          <w:kern w:val="0"/>
          <w:sz w:val="32"/>
          <w:szCs w:val="32"/>
        </w:rPr>
      </w:pPr>
    </w:p>
    <w:p>
      <w:pPr>
        <w:widowControl/>
        <w:tabs>
          <w:tab w:val="left" w:pos="2921"/>
        </w:tabs>
        <w:spacing w:line="560" w:lineRule="exact"/>
        <w:ind w:left="4403" w:leftChars="-558" w:hanging="5965" w:hangingChars="1864"/>
        <w:jc w:val="left"/>
        <w:rPr>
          <w:rFonts w:hint="eastAsia" w:ascii="楷体_GB2312" w:hAnsi="宋体" w:eastAsia="楷体_GB2312" w:cs="宋体"/>
          <w:color w:val="000000"/>
          <w:kern w:val="0"/>
          <w:sz w:val="32"/>
          <w:szCs w:val="32"/>
        </w:rPr>
      </w:pPr>
      <w:r>
        <w:rPr>
          <w:rFonts w:eastAsia="仿宋_GB2312"/>
          <w:color w:val="000000"/>
          <w:kern w:val="0"/>
          <w:sz w:val="32"/>
          <w:szCs w:val="32"/>
        </w:rPr>
        <w:t xml:space="preserve">                                           </w:t>
      </w:r>
      <w:r>
        <w:rPr>
          <w:rFonts w:hint="eastAsia" w:ascii="楷体_GB2312" w:hAnsi="宋体" w:eastAsia="楷体_GB2312" w:cs="宋体"/>
          <w:color w:val="000000"/>
          <w:kern w:val="0"/>
          <w:sz w:val="32"/>
          <w:szCs w:val="32"/>
        </w:rPr>
        <w:t>梁溪区教育局(筹)</w:t>
      </w:r>
    </w:p>
    <w:p>
      <w:pPr>
        <w:widowControl/>
        <w:tabs>
          <w:tab w:val="left" w:pos="2921"/>
        </w:tabs>
        <w:spacing w:line="560" w:lineRule="exact"/>
        <w:ind w:left="4403" w:leftChars="-558" w:hanging="5965" w:hangingChars="1864"/>
        <w:jc w:val="both"/>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lang w:val="en-US" w:eastAsia="zh-CN"/>
        </w:rPr>
        <w:t xml:space="preserve">                                              </w:t>
      </w:r>
      <w:r>
        <w:rPr>
          <w:rFonts w:hint="eastAsia" w:ascii="楷体_GB2312" w:hAnsi="宋体" w:eastAsia="楷体_GB2312" w:cs="宋体"/>
          <w:color w:val="000000"/>
          <w:kern w:val="0"/>
          <w:sz w:val="32"/>
          <w:szCs w:val="32"/>
        </w:rPr>
        <w:t>组织人事科</w:t>
      </w:r>
    </w:p>
    <w:p>
      <w:pPr>
        <w:widowControl/>
        <w:spacing w:line="600" w:lineRule="exact"/>
        <w:ind w:firstLine="320" w:firstLineChars="100"/>
        <w:jc w:val="left"/>
        <w:rPr>
          <w:rFonts w:hint="eastAsia" w:ascii="方正楷体简体" w:hAnsi="宋体" w:eastAsia="方正楷体简体" w:cs="宋体"/>
          <w:color w:val="000000"/>
          <w:spacing w:val="26"/>
          <w:kern w:val="0"/>
          <w:sz w:val="32"/>
          <w:szCs w:val="32"/>
        </w:rPr>
      </w:pPr>
      <w:r>
        <w:rPr>
          <w:rFonts w:hint="eastAsia" w:ascii="楷体_GB2312" w:hAnsi="宋体" w:eastAsia="楷体_GB2312" w:cs="宋体"/>
          <w:color w:val="000000"/>
          <w:kern w:val="0"/>
          <w:sz w:val="32"/>
          <w:szCs w:val="32"/>
        </w:rPr>
        <w:t xml:space="preserve">                    </w:t>
      </w:r>
      <w:r>
        <w:rPr>
          <w:rFonts w:hint="eastAsia" w:ascii="楷体_GB2312" w:hAnsi="宋体" w:eastAsia="楷体_GB2312" w:cs="宋体"/>
          <w:color w:val="000000"/>
          <w:spacing w:val="26"/>
          <w:kern w:val="0"/>
          <w:sz w:val="32"/>
          <w:szCs w:val="32"/>
        </w:rPr>
        <w:t xml:space="preserve">     </w:t>
      </w:r>
      <w:r>
        <w:rPr>
          <w:rFonts w:hint="eastAsia" w:ascii="楷体_GB2312" w:hAnsi="宋体" w:eastAsia="楷体_GB2312" w:cs="宋体"/>
          <w:color w:val="000000"/>
          <w:spacing w:val="26"/>
          <w:kern w:val="0"/>
          <w:sz w:val="32"/>
          <w:szCs w:val="32"/>
          <w:lang w:val="en-US" w:eastAsia="zh-CN"/>
        </w:rPr>
        <w:t xml:space="preserve">   </w:t>
      </w:r>
      <w:bookmarkStart w:id="0" w:name="_GoBack"/>
      <w:bookmarkEnd w:id="0"/>
      <w:r>
        <w:rPr>
          <w:rFonts w:hint="eastAsia" w:ascii="楷体_GB2312" w:hAnsi="宋体" w:eastAsia="楷体_GB2312" w:cs="宋体"/>
          <w:color w:val="000000"/>
          <w:spacing w:val="26"/>
          <w:kern w:val="0"/>
          <w:sz w:val="32"/>
          <w:szCs w:val="32"/>
        </w:rPr>
        <w:t>2016</w:t>
      </w:r>
      <w:r>
        <w:rPr>
          <w:rFonts w:hint="eastAsia" w:ascii="楷体_GB2312" w:hAnsi="楷体_GB2312" w:eastAsia="楷体_GB2312" w:cs="楷体_GB2312"/>
          <w:color w:val="000000"/>
          <w:spacing w:val="26"/>
          <w:kern w:val="0"/>
          <w:sz w:val="32"/>
          <w:szCs w:val="32"/>
        </w:rPr>
        <w:t>年4月15日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5863"/>
    <w:rsid w:val="00087271"/>
    <w:rsid w:val="00354F69"/>
    <w:rsid w:val="00525863"/>
    <w:rsid w:val="00B7324E"/>
    <w:rsid w:val="00D04B54"/>
    <w:rsid w:val="34FC5DF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161</Words>
  <Characters>921</Characters>
  <Lines>7</Lines>
  <Paragraphs>2</Paragraphs>
  <ScaleCrop>false</ScaleCrop>
  <LinksUpToDate>false</LinksUpToDate>
  <CharactersWithSpaces>1080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2016-04-15T03:32:00Z</dcterms:created>
  <dc:creator>太湖实验幼儿园</dc:creator>
  <cp:lastModifiedBy>admin</cp:lastModifiedBy>
  <dcterms:modified xsi:type="dcterms:W3CDTF">2016-04-15T04:26:47Z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